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BF53" w14:textId="77777777" w:rsidR="005E6286" w:rsidRDefault="00426A3D">
      <w:pPr>
        <w:pStyle w:val="Title"/>
      </w:pPr>
      <w:r>
        <w:t>SAMPLE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NECESSITY*</w:t>
      </w:r>
    </w:p>
    <w:p w14:paraId="2FA0BF54" w14:textId="77777777" w:rsidR="005E6286" w:rsidRDefault="00426A3D">
      <w:pPr>
        <w:pStyle w:val="BodyText"/>
        <w:spacing w:before="230" w:line="276" w:lineRule="auto"/>
        <w:ind w:left="568" w:right="740" w:firstLine="422"/>
      </w:pPr>
      <w:r>
        <w:t>(*Please note that this template is intended only as an example and should be customized with patient-specific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 utilizing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judgement 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payer.)</w:t>
      </w:r>
    </w:p>
    <w:p w14:paraId="2FA0BF55" w14:textId="77777777" w:rsidR="005E6286" w:rsidRDefault="005E6286">
      <w:pPr>
        <w:pStyle w:val="BodyText"/>
        <w:spacing w:before="28"/>
      </w:pPr>
    </w:p>
    <w:p w14:paraId="2FA0BF56" w14:textId="77777777" w:rsidR="005E6286" w:rsidRDefault="00426A3D">
      <w:pPr>
        <w:pStyle w:val="Heading1"/>
      </w:pPr>
      <w:r>
        <w:t>[Insert</w:t>
      </w:r>
      <w:r>
        <w:rPr>
          <w:spacing w:val="-10"/>
        </w:rPr>
        <w:t xml:space="preserve"> </w:t>
      </w:r>
      <w:r>
        <w:t>physician</w:t>
      </w:r>
      <w:r>
        <w:rPr>
          <w:spacing w:val="-9"/>
        </w:rPr>
        <w:t xml:space="preserve"> </w:t>
      </w:r>
      <w:r>
        <w:rPr>
          <w:spacing w:val="-2"/>
        </w:rPr>
        <w:t>letterhead]</w:t>
      </w:r>
    </w:p>
    <w:p w14:paraId="2FA0BF57" w14:textId="77777777" w:rsidR="005E6286" w:rsidRDefault="005E6286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5"/>
        <w:gridCol w:w="3095"/>
      </w:tblGrid>
      <w:tr w:rsidR="005E6286" w14:paraId="2FA0BF5A" w14:textId="77777777">
        <w:trPr>
          <w:trHeight w:val="286"/>
        </w:trPr>
        <w:tc>
          <w:tcPr>
            <w:tcW w:w="6135" w:type="dxa"/>
          </w:tcPr>
          <w:p w14:paraId="2FA0BF58" w14:textId="77777777" w:rsidR="005E6286" w:rsidRDefault="00426A3D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[Contact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</w:t>
            </w:r>
            <w:r>
              <w:rPr>
                <w:sz w:val="20"/>
              </w:rPr>
              <w:t>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Representative]</w:t>
            </w:r>
          </w:p>
        </w:tc>
        <w:tc>
          <w:tcPr>
            <w:tcW w:w="3095" w:type="dxa"/>
          </w:tcPr>
          <w:p w14:paraId="2FA0BF59" w14:textId="77777777" w:rsidR="005E6286" w:rsidRDefault="00426A3D">
            <w:pPr>
              <w:pStyle w:val="TableParagraph"/>
              <w:spacing w:before="0" w:line="223" w:lineRule="exact"/>
              <w:ind w:left="211"/>
              <w:rPr>
                <w:sz w:val="20"/>
              </w:rPr>
            </w:pPr>
            <w:r>
              <w:rPr>
                <w:sz w:val="20"/>
              </w:rPr>
              <w:t>Patient: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Name]</w:t>
            </w:r>
          </w:p>
        </w:tc>
      </w:tr>
      <w:tr w:rsidR="005E6286" w14:paraId="2FA0BF5D" w14:textId="77777777">
        <w:trPr>
          <w:trHeight w:val="350"/>
        </w:trPr>
        <w:tc>
          <w:tcPr>
            <w:tcW w:w="6135" w:type="dxa"/>
          </w:tcPr>
          <w:p w14:paraId="2FA0BF5B" w14:textId="77777777" w:rsidR="005E6286" w:rsidRDefault="00426A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Company]</w:t>
            </w:r>
          </w:p>
        </w:tc>
        <w:tc>
          <w:tcPr>
            <w:tcW w:w="3095" w:type="dxa"/>
          </w:tcPr>
          <w:p w14:paraId="2FA0BF5C" w14:textId="77777777" w:rsidR="005E6286" w:rsidRDefault="00426A3D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[Group/Policy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Number]</w:t>
            </w:r>
          </w:p>
        </w:tc>
      </w:tr>
      <w:tr w:rsidR="005E6286" w14:paraId="2FA0BF60" w14:textId="77777777">
        <w:trPr>
          <w:trHeight w:val="350"/>
        </w:trPr>
        <w:tc>
          <w:tcPr>
            <w:tcW w:w="6135" w:type="dxa"/>
          </w:tcPr>
          <w:p w14:paraId="2FA0BF5E" w14:textId="77777777" w:rsidR="005E6286" w:rsidRDefault="00426A3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[Address]</w:t>
            </w:r>
          </w:p>
        </w:tc>
        <w:tc>
          <w:tcPr>
            <w:tcW w:w="3095" w:type="dxa"/>
          </w:tcPr>
          <w:p w14:paraId="2FA0BF5F" w14:textId="77777777" w:rsidR="005E6286" w:rsidRDefault="00426A3D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Service]</w:t>
            </w:r>
          </w:p>
        </w:tc>
      </w:tr>
      <w:tr w:rsidR="005E6286" w14:paraId="2FA0BF63" w14:textId="77777777">
        <w:trPr>
          <w:trHeight w:val="286"/>
        </w:trPr>
        <w:tc>
          <w:tcPr>
            <w:tcW w:w="6135" w:type="dxa"/>
          </w:tcPr>
          <w:p w14:paraId="2FA0BF61" w14:textId="77777777" w:rsidR="005E6286" w:rsidRDefault="00426A3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[City,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ZIP]</w:t>
            </w:r>
          </w:p>
        </w:tc>
        <w:tc>
          <w:tcPr>
            <w:tcW w:w="3095" w:type="dxa"/>
          </w:tcPr>
          <w:p w14:paraId="2FA0BF62" w14:textId="77777777" w:rsidR="005E6286" w:rsidRDefault="005E62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FA0BF64" w14:textId="77777777" w:rsidR="005E6286" w:rsidRDefault="005E6286">
      <w:pPr>
        <w:pStyle w:val="BodyText"/>
        <w:rPr>
          <w:b/>
        </w:rPr>
      </w:pPr>
    </w:p>
    <w:p w14:paraId="2FA0BF65" w14:textId="77777777" w:rsidR="005E6286" w:rsidRDefault="005E6286">
      <w:pPr>
        <w:pStyle w:val="BodyText"/>
        <w:spacing w:before="10"/>
        <w:rPr>
          <w:b/>
        </w:rPr>
      </w:pPr>
    </w:p>
    <w:p w14:paraId="2FA0BF66" w14:textId="77777777" w:rsidR="005E6286" w:rsidRDefault="00426A3D">
      <w:pPr>
        <w:ind w:left="100"/>
        <w:rPr>
          <w:sz w:val="20"/>
        </w:rPr>
      </w:pPr>
      <w:r>
        <w:rPr>
          <w:sz w:val="20"/>
        </w:rPr>
        <w:t>Dear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[insert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department]</w:t>
      </w:r>
      <w:r>
        <w:rPr>
          <w:spacing w:val="-2"/>
          <w:sz w:val="20"/>
        </w:rPr>
        <w:t>:</w:t>
      </w:r>
    </w:p>
    <w:p w14:paraId="2FA0BF67" w14:textId="77777777" w:rsidR="005E6286" w:rsidRDefault="005E6286">
      <w:pPr>
        <w:pStyle w:val="BodyText"/>
        <w:spacing w:before="11"/>
      </w:pPr>
    </w:p>
    <w:p w14:paraId="2FA0BF68" w14:textId="77777777" w:rsidR="005E6286" w:rsidRDefault="00426A3D">
      <w:pPr>
        <w:pStyle w:val="BodyText"/>
        <w:ind w:left="100" w:right="121"/>
      </w:pPr>
      <w:r>
        <w:t xml:space="preserve">I am writing on behalf of my patient, </w:t>
      </w:r>
      <w:r>
        <w:rPr>
          <w:b/>
        </w:rPr>
        <w:t>[insert patient name]</w:t>
      </w:r>
      <w:r>
        <w:t>, to document medical necessity and request continuation of coverage for treatment with XIIDRA</w:t>
      </w:r>
      <w:r>
        <w:rPr>
          <w:position w:val="6"/>
          <w:sz w:val="13"/>
        </w:rPr>
        <w:t>®</w:t>
      </w:r>
      <w:r>
        <w:rPr>
          <w:spacing w:val="26"/>
          <w:position w:val="6"/>
          <w:sz w:val="13"/>
        </w:rPr>
        <w:t xml:space="preserve"> </w:t>
      </w:r>
      <w:r>
        <w:t>(</w:t>
      </w:r>
      <w:proofErr w:type="spellStart"/>
      <w:r>
        <w:t>lifitegrast</w:t>
      </w:r>
      <w:proofErr w:type="spellEnd"/>
      <w:r>
        <w:t xml:space="preserve"> ophthalmic solution) 5%. This letter serves to document that </w:t>
      </w:r>
      <w:r>
        <w:rPr>
          <w:b/>
        </w:rPr>
        <w:t>[insert</w:t>
      </w:r>
      <w:r>
        <w:rPr>
          <w:b/>
          <w:spacing w:val="-3"/>
        </w:rPr>
        <w:t xml:space="preserve"> </w:t>
      </w:r>
      <w:r>
        <w:rPr>
          <w:b/>
        </w:rPr>
        <w:t>patient</w:t>
      </w:r>
      <w:r>
        <w:rPr>
          <w:b/>
          <w:spacing w:val="-3"/>
        </w:rPr>
        <w:t xml:space="preserve"> </w:t>
      </w:r>
      <w:r>
        <w:rPr>
          <w:b/>
        </w:rPr>
        <w:t>name]</w:t>
      </w:r>
      <w:r>
        <w:rPr>
          <w:b/>
          <w:spacing w:val="-3"/>
        </w:rPr>
        <w:t xml:space="preserve"> </w:t>
      </w:r>
      <w:r>
        <w:t>has b</w:t>
      </w:r>
      <w:r>
        <w:t>een</w:t>
      </w:r>
      <w:r>
        <w:rPr>
          <w:spacing w:val="-2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(DED) and</w:t>
      </w:r>
      <w:r>
        <w:rPr>
          <w:spacing w:val="-4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XIIDRA</w:t>
      </w:r>
      <w:r>
        <w:rPr>
          <w:position w:val="6"/>
          <w:sz w:val="13"/>
        </w:rPr>
        <w:t>®</w:t>
      </w:r>
      <w:r>
        <w:rPr>
          <w:spacing w:val="-2"/>
          <w:position w:val="6"/>
          <w:sz w:val="13"/>
        </w:rPr>
        <w:t xml:space="preserve"> </w:t>
      </w:r>
      <w:r>
        <w:t>is medically necessary as prescribed. On behalf of the patient, I am requesting approval for continued use and subsequent payment for the treatment.</w:t>
      </w:r>
    </w:p>
    <w:p w14:paraId="2FA0BF69" w14:textId="77777777" w:rsidR="005E6286" w:rsidRDefault="005E6286">
      <w:pPr>
        <w:pStyle w:val="BodyText"/>
      </w:pPr>
    </w:p>
    <w:p w14:paraId="2FA0BF6A" w14:textId="77777777" w:rsidR="005E6286" w:rsidRDefault="00426A3D">
      <w:pPr>
        <w:pStyle w:val="BodyText"/>
        <w:ind w:left="100"/>
      </w:pPr>
      <w:r>
        <w:t>My patient</w:t>
      </w:r>
      <w:r>
        <w:rPr>
          <w:spacing w:val="-1"/>
        </w:rPr>
        <w:t xml:space="preserve"> </w:t>
      </w:r>
      <w:r>
        <w:t>has previously attempted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treatments for DED,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</w:t>
      </w:r>
      <w:r>
        <w:t>nadequate efficacy or lack of</w:t>
      </w:r>
      <w:r>
        <w:rPr>
          <w:spacing w:val="-3"/>
        </w:rPr>
        <w:t xml:space="preserve"> </w:t>
      </w:r>
      <w:r>
        <w:t>tolerability as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attached medical</w:t>
      </w:r>
      <w:r>
        <w:rPr>
          <w:spacing w:val="-4"/>
        </w:rPr>
        <w:t xml:space="preserve"> </w:t>
      </w:r>
      <w:r>
        <w:t>records. Furthermore, this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using XIIDRA</w:t>
      </w:r>
      <w:r>
        <w:rPr>
          <w:position w:val="6"/>
          <w:sz w:val="13"/>
        </w:rPr>
        <w:t>®</w:t>
      </w:r>
      <w:r>
        <w:rPr>
          <w:spacing w:val="12"/>
          <w:position w:val="6"/>
          <w:sz w:val="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treat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DED</w:t>
      </w:r>
      <w:r>
        <w:rPr>
          <w:spacing w:val="-8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rPr>
          <w:b/>
        </w:rPr>
        <w:t>[insert</w:t>
      </w:r>
      <w:r>
        <w:rPr>
          <w:b/>
          <w:spacing w:val="-7"/>
        </w:rPr>
        <w:t xml:space="preserve"> </w:t>
      </w:r>
      <w:r>
        <w:rPr>
          <w:b/>
        </w:rPr>
        <w:t>date]</w:t>
      </w:r>
      <w:r>
        <w:rPr>
          <w:b/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deem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medically</w:t>
      </w:r>
      <w:r>
        <w:rPr>
          <w:spacing w:val="-5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treatment. Any</w:t>
      </w:r>
      <w:r>
        <w:rPr>
          <w:spacing w:val="-9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eye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unwanted</w:t>
      </w:r>
      <w:r>
        <w:rPr>
          <w:spacing w:val="-8"/>
        </w:rPr>
        <w:t xml:space="preserve"> </w:t>
      </w:r>
      <w:r>
        <w:t>burden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 potential undesired impact on the quality of therapeutic care they currently experience.</w:t>
      </w:r>
    </w:p>
    <w:p w14:paraId="2FA0BF6B" w14:textId="77777777" w:rsidR="005E6286" w:rsidRDefault="005E6286">
      <w:pPr>
        <w:pStyle w:val="BodyText"/>
      </w:pPr>
    </w:p>
    <w:p w14:paraId="2FA0BF6C" w14:textId="77777777" w:rsidR="005E6286" w:rsidRDefault="00426A3D">
      <w:pPr>
        <w:pStyle w:val="BodyText"/>
        <w:ind w:left="100"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FA0BF8C" wp14:editId="2FA0BF8D">
                <wp:simplePos x="0" y="0"/>
                <wp:positionH relativeFrom="page">
                  <wp:posOffset>1812289</wp:posOffset>
                </wp:positionH>
                <wp:positionV relativeFrom="paragraph">
                  <wp:posOffset>730912</wp:posOffset>
                </wp:positionV>
                <wp:extent cx="48895" cy="1543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54305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48768" y="153924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A4A9A" id="Graphic 1" o:spid="_x0000_s1026" style="position:absolute;margin-left:142.7pt;margin-top:57.55pt;width:3.85pt;height:12.1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" path="m48768,l,,,153924r48768,l48768,xe" fillcolor="#fcfcfc" stroked="f">
                <v:path arrowok="t"/>
                <w10:wrap anchorx="page"/>
              </v:shape>
            </w:pict>
          </mc:Fallback>
        </mc:AlternateContent>
      </w:r>
      <w:r>
        <w:t>XIIDRA</w:t>
      </w:r>
      <w:r>
        <w:rPr>
          <w:position w:val="6"/>
          <w:sz w:val="13"/>
        </w:rPr>
        <w:t>®</w:t>
      </w:r>
      <w:r>
        <w:rPr>
          <w:spacing w:val="25"/>
          <w:position w:val="6"/>
          <w:sz w:val="13"/>
        </w:rPr>
        <w:t xml:space="preserve"> </w:t>
      </w:r>
      <w:r>
        <w:t>is an FDA-approved drug in</w:t>
      </w:r>
      <w:r>
        <w:t>dicated for the treatment of the signs and symptoms of DED.</w:t>
      </w:r>
      <w:r>
        <w:rPr>
          <w:position w:val="6"/>
          <w:sz w:val="13"/>
        </w:rPr>
        <w:t>1</w:t>
      </w:r>
      <w:r>
        <w:rPr>
          <w:spacing w:val="27"/>
          <w:position w:val="6"/>
          <w:sz w:val="13"/>
        </w:rPr>
        <w:t xml:space="preserve"> </w:t>
      </w:r>
      <w:r>
        <w:t>DED is a cycle driven by inflammation, desiccation stress, and tissue damage, all of which cause loss of ocular surface homeostasis.</w:t>
      </w:r>
      <w:r>
        <w:rPr>
          <w:position w:val="6"/>
          <w:sz w:val="13"/>
        </w:rPr>
        <w:t>2-4</w:t>
      </w:r>
      <w:r>
        <w:rPr>
          <w:spacing w:val="18"/>
          <w:position w:val="6"/>
          <w:sz w:val="1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chronic,</w:t>
      </w:r>
      <w:r>
        <w:rPr>
          <w:spacing w:val="-4"/>
        </w:rPr>
        <w:t xml:space="preserve"> </w:t>
      </w:r>
      <w:r>
        <w:t>self-perpetuating,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progressive</w:t>
      </w:r>
      <w:r>
        <w:rPr>
          <w:spacing w:val="-4"/>
        </w:rPr>
        <w:t xml:space="preserve"> </w:t>
      </w:r>
      <w:r>
        <w:t>condition.</w:t>
      </w: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cell-mediated</w:t>
      </w:r>
      <w:r>
        <w:rPr>
          <w:spacing w:val="-2"/>
        </w:rPr>
        <w:t xml:space="preserve"> </w:t>
      </w:r>
      <w:r>
        <w:t>inflammation</w:t>
      </w:r>
      <w:r>
        <w:rPr>
          <w:spacing w:val="-3"/>
        </w:rPr>
        <w:t xml:space="preserve"> </w:t>
      </w:r>
      <w:r>
        <w:t>is central to DED pathogenesis and progression.</w:t>
      </w:r>
      <w:r>
        <w:rPr>
          <w:position w:val="6"/>
          <w:sz w:val="13"/>
        </w:rPr>
        <w:t>5,6</w:t>
      </w:r>
      <w:r>
        <w:rPr>
          <w:spacing w:val="28"/>
          <w:position w:val="6"/>
          <w:sz w:val="13"/>
        </w:rPr>
        <w:t xml:space="preserve"> </w:t>
      </w:r>
      <w:r>
        <w:t>XIIDRA</w:t>
      </w:r>
      <w:r>
        <w:rPr>
          <w:position w:val="6"/>
          <w:sz w:val="13"/>
        </w:rPr>
        <w:t>®</w:t>
      </w:r>
      <w:r>
        <w:rPr>
          <w:spacing w:val="25"/>
          <w:position w:val="6"/>
          <w:sz w:val="13"/>
        </w:rPr>
        <w:t xml:space="preserve"> </w:t>
      </w:r>
      <w:r>
        <w:t>is the only DED medication which is designed to target both active and inactive T cells.</w:t>
      </w:r>
      <w:r>
        <w:rPr>
          <w:position w:val="6"/>
          <w:sz w:val="13"/>
        </w:rPr>
        <w:t>1</w:t>
      </w:r>
      <w:r>
        <w:rPr>
          <w:spacing w:val="23"/>
          <w:position w:val="6"/>
          <w:sz w:val="13"/>
        </w:rPr>
        <w:t xml:space="preserve"> </w:t>
      </w:r>
      <w:r>
        <w:t>These actions result in reducti</w:t>
      </w:r>
      <w:r>
        <w:t>on of inflammation and improves the signs and symptoms of DED.</w:t>
      </w:r>
      <w:r>
        <w:rPr>
          <w:position w:val="6"/>
          <w:sz w:val="13"/>
        </w:rPr>
        <w:t>1,</w:t>
      </w:r>
      <w:r>
        <w:rPr>
          <w:color w:val="1F2021"/>
          <w:position w:val="7"/>
          <w:sz w:val="14"/>
        </w:rPr>
        <w:t>†</w:t>
      </w:r>
      <w:r>
        <w:rPr>
          <w:color w:val="1F2021"/>
          <w:spacing w:val="25"/>
          <w:position w:val="7"/>
          <w:sz w:val="14"/>
        </w:rPr>
        <w:t xml:space="preserve"> </w:t>
      </w:r>
      <w:r>
        <w:t>It is for these reasons I have specifically prescribed XIIDRA</w:t>
      </w:r>
      <w:r>
        <w:rPr>
          <w:position w:val="6"/>
          <w:sz w:val="13"/>
        </w:rPr>
        <w:t>®</w:t>
      </w:r>
      <w:r>
        <w:rPr>
          <w:spacing w:val="28"/>
          <w:position w:val="6"/>
          <w:sz w:val="13"/>
        </w:rPr>
        <w:t xml:space="preserve"> </w:t>
      </w:r>
      <w:r>
        <w:t>for this patient’s treatment.</w:t>
      </w:r>
    </w:p>
    <w:p w14:paraId="2FA0BF6D" w14:textId="77777777" w:rsidR="005E6286" w:rsidRDefault="00426A3D">
      <w:pPr>
        <w:pStyle w:val="BodyText"/>
        <w:spacing w:before="230"/>
        <w:ind w:left="100"/>
      </w:pP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letter,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enclosed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patient’s</w:t>
      </w:r>
      <w:r>
        <w:rPr>
          <w:spacing w:val="-9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rPr>
          <w:spacing w:val="-2"/>
        </w:rPr>
        <w:t>records.</w:t>
      </w:r>
    </w:p>
    <w:p w14:paraId="2FA0BF6E" w14:textId="77777777" w:rsidR="005E6286" w:rsidRDefault="00426A3D">
      <w:pPr>
        <w:spacing w:before="228"/>
        <w:ind w:left="100"/>
        <w:rPr>
          <w:b/>
          <w:i/>
          <w:sz w:val="20"/>
        </w:rPr>
      </w:pPr>
      <w:r>
        <w:rPr>
          <w:b/>
          <w:i/>
          <w:sz w:val="20"/>
        </w:rPr>
        <w:t>[Provide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description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patient's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medical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condition,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history,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treatment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history,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including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current treatment with XIIDRA</w:t>
      </w:r>
      <w:r>
        <w:rPr>
          <w:b/>
          <w:i/>
          <w:sz w:val="20"/>
          <w:vertAlign w:val="superscript"/>
        </w:rPr>
        <w:t>®</w:t>
      </w:r>
      <w:r>
        <w:rPr>
          <w:b/>
          <w:i/>
          <w:sz w:val="20"/>
        </w:rPr>
        <w:t>, if applicable. Highlight any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relevant clinical data, test results,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or specialist recommendations supporting the use of the medication.</w:t>
      </w:r>
      <w:r>
        <w:rPr>
          <w:b/>
          <w:i/>
          <w:sz w:val="20"/>
        </w:rPr>
        <w:t>]</w:t>
      </w:r>
    </w:p>
    <w:p w14:paraId="2FA0BF6F" w14:textId="77777777" w:rsidR="005E6286" w:rsidRDefault="005E6286">
      <w:pPr>
        <w:pStyle w:val="BodyText"/>
        <w:spacing w:before="1"/>
        <w:rPr>
          <w:b/>
          <w:i/>
        </w:rPr>
      </w:pPr>
    </w:p>
    <w:p w14:paraId="2FA0BF70" w14:textId="77777777" w:rsidR="005E6286" w:rsidRDefault="00426A3D">
      <w:pPr>
        <w:spacing w:before="1"/>
        <w:ind w:left="100" w:right="121"/>
        <w:rPr>
          <w:b/>
          <w:i/>
          <w:sz w:val="20"/>
        </w:rPr>
      </w:pPr>
      <w:r>
        <w:rPr>
          <w:b/>
          <w:i/>
          <w:sz w:val="20"/>
        </w:rPr>
        <w:t>[Explain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why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alternative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treatments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sufficient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appropriate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patient's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condition,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emphasizing</w:t>
      </w:r>
      <w:r>
        <w:rPr>
          <w:b/>
          <w:i/>
          <w:sz w:val="20"/>
        </w:rPr>
        <w:t xml:space="preserve"> the potential risks or lack of efficacy compared to the prescribed medication.]</w:t>
      </w:r>
    </w:p>
    <w:p w14:paraId="2FA0BF71" w14:textId="77777777" w:rsidR="005E6286" w:rsidRDefault="00426A3D">
      <w:pPr>
        <w:spacing w:before="228"/>
        <w:ind w:left="100"/>
        <w:rPr>
          <w:b/>
          <w:i/>
          <w:sz w:val="20"/>
        </w:rPr>
      </w:pPr>
      <w:r>
        <w:rPr>
          <w:b/>
          <w:i/>
          <w:sz w:val="20"/>
        </w:rPr>
        <w:t>[Discuss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potential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consequences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denying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coverage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medication,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discontinuation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of treatment with XIIDRA</w:t>
      </w:r>
      <w:r>
        <w:rPr>
          <w:b/>
          <w:i/>
          <w:sz w:val="20"/>
          <w:vertAlign w:val="superscript"/>
        </w:rPr>
        <w:t>®</w:t>
      </w:r>
      <w:r>
        <w:rPr>
          <w:b/>
          <w:i/>
          <w:sz w:val="20"/>
        </w:rPr>
        <w:t xml:space="preserve"> (if applicable), such as exacerbation of symptoms</w:t>
      </w:r>
      <w:r>
        <w:rPr>
          <w:b/>
          <w:i/>
          <w:sz w:val="20"/>
        </w:rPr>
        <w:t>, decreased quality of life, or increased healthcare costs due to complications.]</w:t>
      </w:r>
    </w:p>
    <w:p w14:paraId="2FA0BF72" w14:textId="77777777" w:rsidR="005E6286" w:rsidRDefault="005E6286">
      <w:pPr>
        <w:pStyle w:val="BodyText"/>
        <w:rPr>
          <w:b/>
          <w:i/>
        </w:rPr>
      </w:pPr>
    </w:p>
    <w:p w14:paraId="2FA0BF73" w14:textId="77777777" w:rsidR="005E6286" w:rsidRDefault="00426A3D">
      <w:pPr>
        <w:ind w:left="100"/>
        <w:rPr>
          <w:b/>
          <w:i/>
          <w:sz w:val="20"/>
        </w:rPr>
      </w:pPr>
      <w:r>
        <w:rPr>
          <w:b/>
          <w:i/>
          <w:sz w:val="20"/>
        </w:rPr>
        <w:t>[If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applicable,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include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relevant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insurance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policy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guidelines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support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coverage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 xml:space="preserve">the </w:t>
      </w:r>
      <w:r>
        <w:rPr>
          <w:b/>
          <w:i/>
          <w:spacing w:val="-2"/>
          <w:sz w:val="20"/>
        </w:rPr>
        <w:t>medication.]</w:t>
      </w:r>
    </w:p>
    <w:p w14:paraId="2FA0BF74" w14:textId="77777777" w:rsidR="005E6286" w:rsidRDefault="005E6286">
      <w:pPr>
        <w:pStyle w:val="BodyText"/>
        <w:spacing w:before="1"/>
        <w:rPr>
          <w:b/>
          <w:i/>
        </w:rPr>
      </w:pPr>
    </w:p>
    <w:p w14:paraId="2FA0BF75" w14:textId="77777777" w:rsidR="005E6286" w:rsidRDefault="00426A3D">
      <w:pPr>
        <w:pStyle w:val="BodyText"/>
        <w:spacing w:before="1"/>
        <w:ind w:left="100" w:right="287"/>
        <w:jc w:val="both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facts,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confident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medically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 treatment</w:t>
      </w:r>
      <w:r>
        <w:rPr>
          <w:spacing w:val="-3"/>
        </w:rPr>
        <w:t xml:space="preserve"> </w:t>
      </w:r>
      <w:r>
        <w:t>with XIIDRA</w:t>
      </w:r>
      <w:r>
        <w:rPr>
          <w:position w:val="6"/>
          <w:sz w:val="13"/>
        </w:rPr>
        <w:t>®</w:t>
      </w:r>
      <w:r>
        <w:t>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 questions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 matter,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call me</w:t>
      </w:r>
      <w:r>
        <w:rPr>
          <w:spacing w:val="-3"/>
        </w:rPr>
        <w:t xml:space="preserve"> </w:t>
      </w:r>
      <w:r>
        <w:t xml:space="preserve">at </w:t>
      </w:r>
      <w:r>
        <w:rPr>
          <w:b/>
        </w:rPr>
        <w:t>[insert telephone number]</w:t>
      </w:r>
      <w:r>
        <w:t>.</w:t>
      </w:r>
    </w:p>
    <w:p w14:paraId="2FA0BF76" w14:textId="77777777" w:rsidR="005E6286" w:rsidRDefault="00426A3D">
      <w:pPr>
        <w:pStyle w:val="BodyText"/>
        <w:spacing w:before="48" w:line="460" w:lineRule="exact"/>
        <w:ind w:left="100" w:right="5246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prompt</w:t>
      </w:r>
      <w:r>
        <w:rPr>
          <w:spacing w:val="-3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matter. </w:t>
      </w:r>
      <w:r>
        <w:rPr>
          <w:spacing w:val="-2"/>
        </w:rPr>
        <w:t>Sincerely,</w:t>
      </w:r>
    </w:p>
    <w:p w14:paraId="2FA0BF77" w14:textId="77777777" w:rsidR="005E6286" w:rsidRDefault="00426A3D">
      <w:pPr>
        <w:pStyle w:val="Heading1"/>
        <w:spacing w:line="182" w:lineRule="exact"/>
        <w:jc w:val="both"/>
      </w:pPr>
      <w:r>
        <w:t>[Insert</w:t>
      </w:r>
      <w:r>
        <w:rPr>
          <w:spacing w:val="-8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rPr>
          <w:spacing w:val="-2"/>
        </w:rPr>
        <w:t>number]</w:t>
      </w:r>
    </w:p>
    <w:p w14:paraId="2FA0BF78" w14:textId="77777777" w:rsidR="005E6286" w:rsidRDefault="005E6286">
      <w:pPr>
        <w:spacing w:line="182" w:lineRule="exact"/>
        <w:jc w:val="both"/>
        <w:sectPr w:rsidR="005E6286">
          <w:type w:val="continuous"/>
          <w:pgSz w:w="12240" w:h="15840"/>
          <w:pgMar w:top="940" w:right="680" w:bottom="280" w:left="980" w:header="720" w:footer="720" w:gutter="0"/>
          <w:cols w:space="720"/>
        </w:sectPr>
      </w:pPr>
    </w:p>
    <w:p w14:paraId="2FA0BF79" w14:textId="77777777" w:rsidR="005E6286" w:rsidRDefault="00426A3D">
      <w:pPr>
        <w:pStyle w:val="BodyText"/>
        <w:spacing w:before="75" w:line="261" w:lineRule="auto"/>
        <w:ind w:left="100" w:right="521"/>
        <w:jc w:val="both"/>
        <w:rPr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3056" behindDoc="1" locked="0" layoutInCell="1" allowOverlap="1" wp14:anchorId="2FA0BF8E" wp14:editId="2FA0BF8F">
                <wp:simplePos x="0" y="0"/>
                <wp:positionH relativeFrom="page">
                  <wp:posOffset>685800</wp:posOffset>
                </wp:positionH>
                <wp:positionV relativeFrom="paragraph">
                  <wp:posOffset>49276</wp:posOffset>
                </wp:positionV>
                <wp:extent cx="48895" cy="158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5875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48768" y="158496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0668" id="Graphic 2" o:spid="_x0000_s1026" style="position:absolute;margin-left:54pt;margin-top:3.9pt;width:3.85pt;height:12.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" path="m48768,l,,,158496r48768,l48768,xe" fillcolor="#fcfcfc" stroked="f">
                <v:path arrowok="t"/>
                <w10:wrap anchorx="page"/>
              </v:shape>
            </w:pict>
          </mc:Fallback>
        </mc:AlternateContent>
      </w:r>
      <w:r>
        <w:rPr>
          <w:color w:val="1F2021"/>
          <w:position w:val="7"/>
          <w:sz w:val="14"/>
        </w:rPr>
        <w:t>†</w:t>
      </w:r>
      <w:r>
        <w:t>XIIDRA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dryness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EDS</w:t>
      </w:r>
      <w:r>
        <w:rPr>
          <w:spacing w:val="-3"/>
        </w:rPr>
        <w:t xml:space="preserve"> </w:t>
      </w:r>
      <w:r>
        <w:t>(eye</w:t>
      </w:r>
      <w:r>
        <w:rPr>
          <w:spacing w:val="-1"/>
        </w:rPr>
        <w:t xml:space="preserve"> </w:t>
      </w:r>
      <w:r>
        <w:t>dryness</w:t>
      </w:r>
      <w:r>
        <w:rPr>
          <w:spacing w:val="-2"/>
        </w:rPr>
        <w:t xml:space="preserve"> </w:t>
      </w:r>
      <w:r>
        <w:t>score)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studies, with</w:t>
      </w:r>
      <w:r>
        <w:rPr>
          <w:spacing w:val="-2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studies and</w:t>
      </w:r>
      <w:r>
        <w:rPr>
          <w:spacing w:val="-2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studies at 12 weeks.</w:t>
      </w:r>
      <w:r>
        <w:rPr>
          <w:position w:val="6"/>
          <w:sz w:val="13"/>
        </w:rPr>
        <w:t>1</w:t>
      </w:r>
    </w:p>
    <w:p w14:paraId="2FA0BF7A" w14:textId="77777777" w:rsidR="005E6286" w:rsidRDefault="005E6286">
      <w:pPr>
        <w:pStyle w:val="BodyText"/>
        <w:spacing w:before="46"/>
      </w:pPr>
    </w:p>
    <w:p w14:paraId="2FA0BF7B" w14:textId="77777777" w:rsidR="005E6286" w:rsidRDefault="00426A3D">
      <w:pPr>
        <w:pStyle w:val="Heading1"/>
      </w:pPr>
      <w:r>
        <w:rPr>
          <w:spacing w:val="-2"/>
        </w:rPr>
        <w:t>Indication</w:t>
      </w:r>
    </w:p>
    <w:p w14:paraId="2FA0BF7C" w14:textId="77777777" w:rsidR="005E6286" w:rsidRDefault="00426A3D">
      <w:pPr>
        <w:pStyle w:val="BodyText"/>
        <w:ind w:left="100"/>
      </w:pPr>
      <w:r>
        <w:t>Xiidra</w:t>
      </w:r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t>(</w:t>
      </w:r>
      <w:proofErr w:type="spellStart"/>
      <w:r>
        <w:t>liﬁtegrast</w:t>
      </w:r>
      <w:proofErr w:type="spellEnd"/>
      <w:r>
        <w:rPr>
          <w:spacing w:val="-3"/>
        </w:rPr>
        <w:t xml:space="preserve"> </w:t>
      </w:r>
      <w:r>
        <w:t>ophthalmic</w:t>
      </w:r>
      <w:r>
        <w:rPr>
          <w:spacing w:val="-3"/>
        </w:rPr>
        <w:t xml:space="preserve"> </w:t>
      </w:r>
      <w:r>
        <w:t>solution)</w:t>
      </w:r>
      <w:r>
        <w:rPr>
          <w:spacing w:val="-3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 xml:space="preserve">disease </w:t>
      </w:r>
      <w:r>
        <w:rPr>
          <w:spacing w:val="-2"/>
        </w:rPr>
        <w:t>(DED).</w:t>
      </w:r>
    </w:p>
    <w:p w14:paraId="2FA0BF7D" w14:textId="77777777" w:rsidR="005E6286" w:rsidRDefault="005E6286">
      <w:pPr>
        <w:pStyle w:val="BodyText"/>
        <w:spacing w:before="16"/>
      </w:pPr>
    </w:p>
    <w:p w14:paraId="2FA0BF7E" w14:textId="77777777" w:rsidR="005E6286" w:rsidRDefault="00426A3D">
      <w:pPr>
        <w:pStyle w:val="Heading1"/>
      </w:pPr>
      <w:r>
        <w:t>Important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2FA0BF7F" w14:textId="77777777" w:rsidR="005E6286" w:rsidRDefault="00426A3D">
      <w:pPr>
        <w:pStyle w:val="ListParagraph"/>
        <w:numPr>
          <w:ilvl w:val="0"/>
          <w:numId w:val="1"/>
        </w:numPr>
        <w:tabs>
          <w:tab w:val="left" w:pos="820"/>
        </w:tabs>
        <w:spacing w:before="5" w:line="235" w:lineRule="auto"/>
        <w:ind w:right="1230"/>
        <w:rPr>
          <w:sz w:val="20"/>
        </w:rPr>
      </w:pPr>
      <w:r>
        <w:rPr>
          <w:sz w:val="20"/>
        </w:rPr>
        <w:t>Xiidra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contraindicated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known</w:t>
      </w:r>
      <w:r>
        <w:rPr>
          <w:spacing w:val="-3"/>
          <w:sz w:val="20"/>
        </w:rPr>
        <w:t xml:space="preserve"> </w:t>
      </w:r>
      <w:r>
        <w:rPr>
          <w:sz w:val="20"/>
        </w:rPr>
        <w:t>hypersensitivity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liﬁtegrast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other </w:t>
      </w:r>
      <w:r>
        <w:rPr>
          <w:spacing w:val="-2"/>
          <w:sz w:val="20"/>
        </w:rPr>
        <w:t>ingredients.</w:t>
      </w:r>
    </w:p>
    <w:p w14:paraId="2FA0BF80" w14:textId="77777777" w:rsidR="005E6286" w:rsidRDefault="00426A3D">
      <w:pPr>
        <w:pStyle w:val="ListParagraph"/>
        <w:numPr>
          <w:ilvl w:val="0"/>
          <w:numId w:val="1"/>
        </w:numPr>
        <w:tabs>
          <w:tab w:val="left" w:pos="820"/>
        </w:tabs>
        <w:ind w:right="558"/>
        <w:rPr>
          <w:sz w:val="20"/>
        </w:rPr>
      </w:pPr>
      <w:r>
        <w:rPr>
          <w:sz w:val="20"/>
        </w:rPr>
        <w:t>In clinical trials, the most common adverse reactions reported in 5-25% of patients were instillation site irritation, dysgeusia</w:t>
      </w:r>
      <w:r>
        <w:rPr>
          <w:sz w:val="20"/>
        </w:rPr>
        <w:t xml:space="preserve"> and reduced visual acuity. Other adverse reactions reported in 1% to 5% of the patients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5"/>
          <w:sz w:val="20"/>
        </w:rPr>
        <w:t xml:space="preserve"> </w:t>
      </w:r>
      <w:r>
        <w:rPr>
          <w:sz w:val="20"/>
        </w:rPr>
        <w:t>blurred</w:t>
      </w:r>
      <w:r>
        <w:rPr>
          <w:spacing w:val="-6"/>
          <w:sz w:val="20"/>
        </w:rPr>
        <w:t xml:space="preserve"> </w:t>
      </w:r>
      <w:r>
        <w:rPr>
          <w:sz w:val="20"/>
        </w:rPr>
        <w:t>vision,</w:t>
      </w:r>
      <w:r>
        <w:rPr>
          <w:spacing w:val="-5"/>
          <w:sz w:val="20"/>
        </w:rPr>
        <w:t xml:space="preserve"> </w:t>
      </w:r>
      <w:r>
        <w:rPr>
          <w:sz w:val="20"/>
        </w:rPr>
        <w:t>conjunctival</w:t>
      </w:r>
      <w:r>
        <w:rPr>
          <w:spacing w:val="-6"/>
          <w:sz w:val="20"/>
        </w:rPr>
        <w:t xml:space="preserve"> </w:t>
      </w:r>
      <w:r>
        <w:rPr>
          <w:sz w:val="20"/>
        </w:rPr>
        <w:t>hyperemia,</w:t>
      </w:r>
      <w:r>
        <w:rPr>
          <w:spacing w:val="-3"/>
          <w:sz w:val="20"/>
        </w:rPr>
        <w:t xml:space="preserve"> </w:t>
      </w:r>
      <w:r>
        <w:rPr>
          <w:sz w:val="20"/>
        </w:rPr>
        <w:t>eye</w:t>
      </w:r>
      <w:r>
        <w:rPr>
          <w:spacing w:val="-5"/>
          <w:sz w:val="20"/>
        </w:rPr>
        <w:t xml:space="preserve"> </w:t>
      </w:r>
      <w:r>
        <w:rPr>
          <w:sz w:val="20"/>
        </w:rPr>
        <w:t>irritation,</w:t>
      </w:r>
      <w:r>
        <w:rPr>
          <w:spacing w:val="-5"/>
          <w:sz w:val="20"/>
        </w:rPr>
        <w:t xml:space="preserve"> </w:t>
      </w:r>
      <w:r>
        <w:rPr>
          <w:sz w:val="20"/>
        </w:rPr>
        <w:t>headache,</w:t>
      </w:r>
      <w:r>
        <w:rPr>
          <w:spacing w:val="-3"/>
          <w:sz w:val="20"/>
        </w:rPr>
        <w:t xml:space="preserve"> </w:t>
      </w:r>
      <w:r>
        <w:rPr>
          <w:sz w:val="20"/>
        </w:rPr>
        <w:t>increased</w:t>
      </w:r>
      <w:r>
        <w:rPr>
          <w:spacing w:val="-4"/>
          <w:sz w:val="20"/>
        </w:rPr>
        <w:t xml:space="preserve"> </w:t>
      </w:r>
      <w:r>
        <w:rPr>
          <w:sz w:val="20"/>
        </w:rPr>
        <w:t>lacrimation,</w:t>
      </w:r>
      <w:r>
        <w:rPr>
          <w:spacing w:val="-3"/>
          <w:sz w:val="20"/>
        </w:rPr>
        <w:t xml:space="preserve"> </w:t>
      </w:r>
      <w:r>
        <w:rPr>
          <w:sz w:val="20"/>
        </w:rPr>
        <w:t>eye discharge, eye discomfort, eye pruritus and sinusitis.</w:t>
      </w:r>
    </w:p>
    <w:p w14:paraId="2FA0BF81" w14:textId="77777777" w:rsidR="005E6286" w:rsidRDefault="00426A3D">
      <w:pPr>
        <w:pStyle w:val="ListParagraph"/>
        <w:numPr>
          <w:ilvl w:val="0"/>
          <w:numId w:val="1"/>
        </w:numPr>
        <w:tabs>
          <w:tab w:val="left" w:pos="820"/>
        </w:tabs>
        <w:spacing w:before="4" w:line="235" w:lineRule="auto"/>
        <w:ind w:right="659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avoid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eye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contamination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solution,</w:t>
      </w:r>
      <w:r>
        <w:rPr>
          <w:spacing w:val="-3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touch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tip</w:t>
      </w:r>
      <w:r>
        <w:rPr>
          <w:spacing w:val="-1"/>
          <w:sz w:val="20"/>
        </w:rPr>
        <w:t xml:space="preserve"> </w:t>
      </w:r>
      <w:r>
        <w:rPr>
          <w:sz w:val="20"/>
        </w:rPr>
        <w:t>of the single-use container to their eye or to any surface.</w:t>
      </w:r>
    </w:p>
    <w:p w14:paraId="2FA0BF82" w14:textId="77777777" w:rsidR="005E6286" w:rsidRDefault="00426A3D">
      <w:pPr>
        <w:pStyle w:val="ListParagraph"/>
        <w:numPr>
          <w:ilvl w:val="0"/>
          <w:numId w:val="1"/>
        </w:numPr>
        <w:tabs>
          <w:tab w:val="left" w:pos="820"/>
        </w:tabs>
        <w:spacing w:before="7" w:line="235" w:lineRule="auto"/>
        <w:ind w:right="506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lenses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removed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Xiidra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reinserted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min</w:t>
      </w:r>
      <w:r>
        <w:rPr>
          <w:sz w:val="20"/>
        </w:rPr>
        <w:t>utes following administration.</w:t>
      </w:r>
    </w:p>
    <w:p w14:paraId="2FA0BF83" w14:textId="77777777" w:rsidR="005E6286" w:rsidRDefault="00426A3D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</w:rPr>
      </w:pP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efﬁcacy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pediatric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established.</w:t>
      </w:r>
    </w:p>
    <w:p w14:paraId="2FA0BF84" w14:textId="77777777" w:rsidR="005E6286" w:rsidRDefault="005E6286">
      <w:pPr>
        <w:pStyle w:val="BodyText"/>
        <w:spacing w:before="9"/>
      </w:pPr>
    </w:p>
    <w:p w14:paraId="2FA0BF85" w14:textId="77777777" w:rsidR="005E6286" w:rsidRDefault="00426A3D">
      <w:pPr>
        <w:pStyle w:val="BodyText"/>
        <w:spacing w:line="264" w:lineRule="auto"/>
        <w:ind w:left="100" w:right="449"/>
        <w:jc w:val="both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FDA.</w:t>
      </w:r>
      <w:r>
        <w:rPr>
          <w:spacing w:val="-2"/>
        </w:rPr>
        <w:t xml:space="preserve"> </w:t>
      </w:r>
      <w:r>
        <w:t>Visit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www.fda.gov/medwatch</w:t>
        </w:r>
      </w:hyperlink>
      <w:r>
        <w:rPr>
          <w:color w:val="0000FF"/>
        </w:rPr>
        <w:t xml:space="preserve"> </w:t>
      </w:r>
      <w:r>
        <w:t>or call 1-800-FDA-1088.</w:t>
      </w:r>
    </w:p>
    <w:p w14:paraId="2FA0BF86" w14:textId="77777777" w:rsidR="005E6286" w:rsidRDefault="005E6286">
      <w:pPr>
        <w:pStyle w:val="BodyText"/>
        <w:spacing w:before="135"/>
      </w:pPr>
    </w:p>
    <w:p w14:paraId="2FA0BF87" w14:textId="77777777" w:rsidR="005E6286" w:rsidRDefault="00426A3D">
      <w:pPr>
        <w:pStyle w:val="Heading1"/>
      </w:pPr>
      <w:r>
        <w:t>Please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hyperlink r:id="rId6">
        <w:r>
          <w:rPr>
            <w:u w:val="single"/>
          </w:rPr>
          <w:t>Full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Prescribing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Information</w:t>
        </w:r>
      </w:hyperlink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XIIDRA.</w:t>
      </w:r>
    </w:p>
    <w:p w14:paraId="2FA0BF88" w14:textId="77777777" w:rsidR="005E6286" w:rsidRDefault="005E6286">
      <w:pPr>
        <w:pStyle w:val="BodyText"/>
        <w:spacing w:before="172"/>
        <w:rPr>
          <w:b/>
          <w:sz w:val="18"/>
        </w:rPr>
      </w:pPr>
    </w:p>
    <w:p w14:paraId="2FA0BF89" w14:textId="77777777" w:rsidR="005E6286" w:rsidRDefault="00426A3D">
      <w:pPr>
        <w:spacing w:before="1"/>
        <w:ind w:left="100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References: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1.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XIIDRA</w:t>
      </w:r>
      <w:r>
        <w:rPr>
          <w:rFonts w:ascii="Calibri" w:hAnsi="Calibri"/>
          <w:spacing w:val="-2"/>
          <w:position w:val="5"/>
          <w:sz w:val="12"/>
        </w:rPr>
        <w:t>®</w:t>
      </w:r>
      <w:r>
        <w:rPr>
          <w:rFonts w:ascii="Calibri" w:hAnsi="Calibri"/>
          <w:spacing w:val="-2"/>
          <w:sz w:val="18"/>
        </w:rPr>
        <w:t>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Prescribing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Information.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Bausch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&amp;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Lomb,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Inc.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2.</w:t>
      </w:r>
      <w:r>
        <w:rPr>
          <w:rFonts w:ascii="Calibri" w:hAnsi="Calibri"/>
          <w:b/>
          <w:spacing w:val="-4"/>
          <w:sz w:val="18"/>
        </w:rPr>
        <w:t xml:space="preserve"> </w:t>
      </w:r>
      <w:proofErr w:type="spellStart"/>
      <w:r>
        <w:rPr>
          <w:rFonts w:ascii="Calibri" w:hAnsi="Calibri"/>
          <w:spacing w:val="-2"/>
          <w:sz w:val="18"/>
        </w:rPr>
        <w:t>Bron</w:t>
      </w:r>
      <w:proofErr w:type="spellEnd"/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AJ, 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Paiva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CS,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Chauhan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SK,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et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al.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TFOS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DEWS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II pathophysiology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 xml:space="preserve">report [published correction appears in </w:t>
      </w:r>
      <w:proofErr w:type="spellStart"/>
      <w:r>
        <w:rPr>
          <w:rFonts w:ascii="Calibri" w:hAnsi="Calibri"/>
          <w:i/>
          <w:spacing w:val="-2"/>
          <w:sz w:val="18"/>
        </w:rPr>
        <w:t>Ocul</w:t>
      </w:r>
      <w:proofErr w:type="spellEnd"/>
      <w:r>
        <w:rPr>
          <w:rFonts w:ascii="Calibri" w:hAnsi="Calibri"/>
          <w:i/>
          <w:spacing w:val="-2"/>
          <w:sz w:val="18"/>
        </w:rPr>
        <w:t xml:space="preserve"> Surf. </w:t>
      </w:r>
      <w:r>
        <w:rPr>
          <w:rFonts w:ascii="Calibri" w:hAnsi="Calibri"/>
          <w:spacing w:val="-2"/>
          <w:sz w:val="18"/>
        </w:rPr>
        <w:t xml:space="preserve">2019;17(4):842]. </w:t>
      </w:r>
      <w:proofErr w:type="spellStart"/>
      <w:r>
        <w:rPr>
          <w:rFonts w:ascii="Calibri" w:hAnsi="Calibri"/>
          <w:i/>
          <w:spacing w:val="-2"/>
          <w:sz w:val="18"/>
        </w:rPr>
        <w:t>Ocul</w:t>
      </w:r>
      <w:proofErr w:type="spellEnd"/>
      <w:r>
        <w:rPr>
          <w:rFonts w:ascii="Calibri" w:hAnsi="Calibri"/>
          <w:i/>
          <w:spacing w:val="-2"/>
          <w:sz w:val="18"/>
        </w:rPr>
        <w:t xml:space="preserve"> Surf. </w:t>
      </w:r>
      <w:r>
        <w:rPr>
          <w:rFonts w:ascii="Calibri" w:hAnsi="Calibri"/>
          <w:spacing w:val="-2"/>
          <w:sz w:val="18"/>
        </w:rPr>
        <w:t xml:space="preserve">2017;15(3):438-510. doi:10.1016/j.jtos.2017.05.011 </w:t>
      </w:r>
      <w:r>
        <w:rPr>
          <w:rFonts w:ascii="Calibri" w:hAnsi="Calibri"/>
          <w:b/>
          <w:spacing w:val="-2"/>
          <w:sz w:val="18"/>
        </w:rPr>
        <w:t>3.</w:t>
      </w:r>
    </w:p>
    <w:p w14:paraId="2FA0BF8A" w14:textId="77777777" w:rsidR="005E6286" w:rsidRDefault="00426A3D">
      <w:pPr>
        <w:ind w:left="100" w:right="393"/>
        <w:rPr>
          <w:rFonts w:ascii="Calibri"/>
          <w:sz w:val="18"/>
        </w:rPr>
      </w:pPr>
      <w:proofErr w:type="spellStart"/>
      <w:r>
        <w:rPr>
          <w:rFonts w:ascii="Calibri"/>
          <w:sz w:val="18"/>
        </w:rPr>
        <w:t>Pflugfelder</w:t>
      </w:r>
      <w:proofErr w:type="spellEnd"/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SC,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Paiva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CS.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pathophysiology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dry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eye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disease: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what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we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know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future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directions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z w:val="18"/>
        </w:rPr>
        <w:t>research.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Ophthalmology</w:t>
      </w:r>
      <w:r>
        <w:rPr>
          <w:rFonts w:ascii="Calibri"/>
          <w:sz w:val="18"/>
        </w:rPr>
        <w:t xml:space="preserve">. </w:t>
      </w:r>
      <w:r>
        <w:rPr>
          <w:rFonts w:ascii="Calibri"/>
          <w:spacing w:val="-2"/>
          <w:sz w:val="18"/>
        </w:rPr>
        <w:t>2017;124(11S):S4-S13.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doi:10.1016/j.ophth</w:t>
      </w:r>
      <w:r>
        <w:rPr>
          <w:rFonts w:ascii="Calibri"/>
          <w:spacing w:val="-2"/>
          <w:sz w:val="18"/>
        </w:rPr>
        <w:t xml:space="preserve">a.2017.07.010 </w:t>
      </w:r>
      <w:r>
        <w:rPr>
          <w:rFonts w:ascii="Calibri"/>
          <w:b/>
          <w:spacing w:val="-2"/>
          <w:sz w:val="18"/>
        </w:rPr>
        <w:t>4.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Zhang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R,</w:t>
      </w:r>
      <w:r>
        <w:rPr>
          <w:rFonts w:ascii="Calibri"/>
          <w:spacing w:val="-5"/>
          <w:sz w:val="18"/>
        </w:rPr>
        <w:t xml:space="preserve"> </w:t>
      </w:r>
      <w:proofErr w:type="spellStart"/>
      <w:r>
        <w:rPr>
          <w:rFonts w:ascii="Calibri"/>
          <w:spacing w:val="-2"/>
          <w:sz w:val="18"/>
        </w:rPr>
        <w:t>Pandzic</w:t>
      </w:r>
      <w:proofErr w:type="spellEnd"/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E,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Park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M,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Wakefield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D, Di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Girolamo N.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Inducing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dry eye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disease</w:t>
      </w:r>
      <w:r>
        <w:rPr>
          <w:rFonts w:ascii="Calibri"/>
          <w:sz w:val="18"/>
        </w:rPr>
        <w:t xml:space="preserve"> using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custom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engineered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desiccation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system: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impact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ocular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surface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including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keratin-14-positive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limbal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epithelial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stem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cells.</w:t>
      </w:r>
      <w:r>
        <w:rPr>
          <w:rFonts w:ascii="Calibri"/>
          <w:spacing w:val="-10"/>
          <w:sz w:val="18"/>
        </w:rPr>
        <w:t xml:space="preserve"> </w:t>
      </w:r>
      <w:proofErr w:type="spellStart"/>
      <w:r>
        <w:rPr>
          <w:rFonts w:ascii="Calibri"/>
          <w:i/>
          <w:sz w:val="18"/>
        </w:rPr>
        <w:t>Ocul</w:t>
      </w:r>
      <w:proofErr w:type="spellEnd"/>
      <w:r>
        <w:rPr>
          <w:rFonts w:ascii="Calibri"/>
          <w:i/>
          <w:sz w:val="18"/>
        </w:rPr>
        <w:t xml:space="preserve"> Surf</w:t>
      </w:r>
      <w:r>
        <w:rPr>
          <w:rFonts w:ascii="Calibri"/>
          <w:sz w:val="18"/>
        </w:rPr>
        <w:t>.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2021;21:145-159.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doi:10.1016/j.jtos.2021.04.006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b/>
          <w:sz w:val="18"/>
        </w:rPr>
        <w:t>5.</w:t>
      </w:r>
      <w:r>
        <w:rPr>
          <w:rFonts w:ascii="Calibri"/>
          <w:b/>
          <w:spacing w:val="-10"/>
          <w:sz w:val="18"/>
        </w:rPr>
        <w:t xml:space="preserve"> </w:t>
      </w:r>
      <w:proofErr w:type="spellStart"/>
      <w:r>
        <w:rPr>
          <w:rFonts w:ascii="Calibri"/>
          <w:sz w:val="18"/>
        </w:rPr>
        <w:t>Pflugfelder</w:t>
      </w:r>
      <w:proofErr w:type="spellEnd"/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SC,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Stern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M,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Zhang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S,</w:t>
      </w:r>
      <w:r>
        <w:rPr>
          <w:rFonts w:ascii="Calibri"/>
          <w:spacing w:val="-10"/>
          <w:sz w:val="18"/>
        </w:rPr>
        <w:t xml:space="preserve"> </w:t>
      </w:r>
      <w:proofErr w:type="spellStart"/>
      <w:r>
        <w:rPr>
          <w:rFonts w:ascii="Calibri"/>
          <w:sz w:val="18"/>
        </w:rPr>
        <w:t>Shojaei</w:t>
      </w:r>
      <w:proofErr w:type="spellEnd"/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A.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LFA-1/ICAM-1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interaction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as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 xml:space="preserve">a </w:t>
      </w:r>
      <w:r>
        <w:rPr>
          <w:rFonts w:ascii="Calibri"/>
          <w:spacing w:val="-2"/>
          <w:sz w:val="18"/>
        </w:rPr>
        <w:t xml:space="preserve">therapeutic target in dry eye disease. </w:t>
      </w:r>
      <w:r>
        <w:rPr>
          <w:rFonts w:ascii="Calibri"/>
          <w:i/>
          <w:spacing w:val="-2"/>
          <w:sz w:val="18"/>
        </w:rPr>
        <w:t xml:space="preserve">J </w:t>
      </w:r>
      <w:proofErr w:type="spellStart"/>
      <w:r>
        <w:rPr>
          <w:rFonts w:ascii="Calibri"/>
          <w:i/>
          <w:spacing w:val="-2"/>
          <w:sz w:val="18"/>
        </w:rPr>
        <w:t>Ocul</w:t>
      </w:r>
      <w:proofErr w:type="spellEnd"/>
      <w:r>
        <w:rPr>
          <w:rFonts w:ascii="Calibri"/>
          <w:i/>
          <w:spacing w:val="-3"/>
          <w:sz w:val="18"/>
        </w:rPr>
        <w:t xml:space="preserve"> </w:t>
      </w:r>
      <w:proofErr w:type="spellStart"/>
      <w:r>
        <w:rPr>
          <w:rFonts w:ascii="Calibri"/>
          <w:i/>
          <w:spacing w:val="-2"/>
          <w:sz w:val="18"/>
        </w:rPr>
        <w:t>Pharmacol</w:t>
      </w:r>
      <w:proofErr w:type="spellEnd"/>
      <w:r>
        <w:rPr>
          <w:rFonts w:ascii="Calibri"/>
          <w:i/>
          <w:spacing w:val="-3"/>
          <w:sz w:val="18"/>
        </w:rPr>
        <w:t xml:space="preserve"> </w:t>
      </w:r>
      <w:proofErr w:type="spellStart"/>
      <w:r>
        <w:rPr>
          <w:rFonts w:ascii="Calibri"/>
          <w:i/>
          <w:spacing w:val="-2"/>
          <w:sz w:val="18"/>
        </w:rPr>
        <w:t>Ther</w:t>
      </w:r>
      <w:proofErr w:type="spellEnd"/>
      <w:r>
        <w:rPr>
          <w:rFonts w:ascii="Calibri"/>
          <w:i/>
          <w:spacing w:val="-2"/>
          <w:sz w:val="18"/>
        </w:rPr>
        <w:t xml:space="preserve">. </w:t>
      </w:r>
      <w:r>
        <w:rPr>
          <w:rFonts w:ascii="Calibri"/>
          <w:spacing w:val="-2"/>
          <w:sz w:val="18"/>
        </w:rPr>
        <w:t xml:space="preserve">2017;33(1)5-12. doi:10.1089/jop.2016.0105 </w:t>
      </w:r>
      <w:r>
        <w:rPr>
          <w:rFonts w:ascii="Calibri"/>
          <w:b/>
          <w:spacing w:val="-2"/>
          <w:sz w:val="18"/>
        </w:rPr>
        <w:t xml:space="preserve">6. </w:t>
      </w:r>
      <w:proofErr w:type="spellStart"/>
      <w:r>
        <w:rPr>
          <w:rFonts w:ascii="Calibri"/>
          <w:spacing w:val="-2"/>
          <w:sz w:val="18"/>
        </w:rPr>
        <w:t>Periman</w:t>
      </w:r>
      <w:proofErr w:type="spellEnd"/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LM, Perez VL, Saban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DR,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2"/>
          <w:sz w:val="18"/>
        </w:rPr>
        <w:t>Lin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MC, Neri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P.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The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immunological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basis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of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dry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eye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disease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and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current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topical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treatment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 xml:space="preserve">options. </w:t>
      </w:r>
      <w:r>
        <w:rPr>
          <w:rFonts w:ascii="Calibri"/>
          <w:i/>
          <w:spacing w:val="-2"/>
          <w:sz w:val="18"/>
        </w:rPr>
        <w:t>J</w:t>
      </w:r>
      <w:r>
        <w:rPr>
          <w:rFonts w:ascii="Calibri"/>
          <w:i/>
          <w:spacing w:val="-5"/>
          <w:sz w:val="18"/>
        </w:rPr>
        <w:t xml:space="preserve"> </w:t>
      </w:r>
      <w:proofErr w:type="spellStart"/>
      <w:r>
        <w:rPr>
          <w:rFonts w:ascii="Calibri"/>
          <w:i/>
          <w:spacing w:val="-2"/>
          <w:sz w:val="18"/>
        </w:rPr>
        <w:t>Ocul</w:t>
      </w:r>
      <w:proofErr w:type="spellEnd"/>
      <w:r>
        <w:rPr>
          <w:rFonts w:ascii="Calibri"/>
          <w:i/>
          <w:spacing w:val="-6"/>
          <w:sz w:val="18"/>
        </w:rPr>
        <w:t xml:space="preserve"> </w:t>
      </w:r>
      <w:proofErr w:type="spellStart"/>
      <w:r>
        <w:rPr>
          <w:rFonts w:ascii="Calibri"/>
          <w:i/>
          <w:spacing w:val="-2"/>
          <w:sz w:val="18"/>
        </w:rPr>
        <w:t>Pharmacol</w:t>
      </w:r>
      <w:proofErr w:type="spellEnd"/>
      <w:r>
        <w:rPr>
          <w:rFonts w:ascii="Calibri"/>
          <w:i/>
          <w:spacing w:val="-6"/>
          <w:sz w:val="18"/>
        </w:rPr>
        <w:t xml:space="preserve"> </w:t>
      </w:r>
      <w:proofErr w:type="spellStart"/>
      <w:r>
        <w:rPr>
          <w:rFonts w:ascii="Calibri"/>
          <w:i/>
          <w:spacing w:val="-2"/>
          <w:sz w:val="18"/>
        </w:rPr>
        <w:t>Ther</w:t>
      </w:r>
      <w:proofErr w:type="spellEnd"/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2020;36(3):137-146.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2"/>
          <w:sz w:val="18"/>
        </w:rPr>
        <w:t>doi:10.1089/jop.2019.0060</w:t>
      </w:r>
    </w:p>
    <w:p w14:paraId="2FA0BF8B" w14:textId="77777777" w:rsidR="005E6286" w:rsidRDefault="00426A3D">
      <w:pPr>
        <w:pStyle w:val="BodyText"/>
        <w:spacing w:before="118"/>
        <w:ind w:left="100"/>
      </w:pPr>
      <w:r>
        <w:t>©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Bausch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Lomb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rPr>
          <w:spacing w:val="-2"/>
        </w:rPr>
        <w:t>XDR.0250.USA.24</w:t>
      </w:r>
    </w:p>
    <w:sectPr w:rsidR="005E6286">
      <w:pgSz w:w="12240" w:h="15840"/>
      <w:pgMar w:top="1240" w:right="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4B0"/>
    <w:multiLevelType w:val="hybridMultilevel"/>
    <w:tmpl w:val="B39295BE"/>
    <w:lvl w:ilvl="0" w:tplc="334A038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46682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4356C04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91A61BCC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DD34D06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0098263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B7BAF9A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17045E0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C5F0356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num w:numId="1" w16cid:durableId="177493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86"/>
    <w:rsid w:val="00426A3D"/>
    <w:rsid w:val="005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0BF53"/>
  <w15:docId w15:val="{F1BF35E4-E6EE-4625-9075-30A11CB4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right="25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.bausch.com/globalassets/pdf/packageinserts/pharma/xiidra-prescribing-information.pdf" TargetMode="External"/><Relationship Id="rId5" Type="http://schemas.openxmlformats.org/officeDocument/2006/relationships/hyperlink" Target="http://www.fda.gov/med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 Robert</dc:creator>
  <cp:lastModifiedBy>Jewell, Robert</cp:lastModifiedBy>
  <cp:revision>2</cp:revision>
  <dcterms:created xsi:type="dcterms:W3CDTF">2024-07-15T13:26:00Z</dcterms:created>
  <dcterms:modified xsi:type="dcterms:W3CDTF">2024-07-15T13:26:00Z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for Microsoft 365</vt:lpwstr>
  </property>
</Properties>
</file>